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F29952" w14:textId="77777777" w:rsidR="00854A49" w:rsidRPr="00854A49" w:rsidRDefault="00854A49" w:rsidP="00854A49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54A49">
        <w:rPr>
          <w:rFonts w:ascii="Times New Roman" w:hAnsi="Times New Roman" w:cs="Times New Roman"/>
        </w:rPr>
        <w:t>Иные сведения</w:t>
      </w:r>
    </w:p>
    <w:p w14:paraId="1DF0BE7A" w14:textId="2FF06DF4" w:rsidR="00854A49" w:rsidRDefault="00854A49" w:rsidP="00854A49">
      <w:pPr>
        <w:jc w:val="center"/>
        <w:rPr>
          <w:rFonts w:ascii="Times New Roman" w:hAnsi="Times New Roman" w:cs="Times New Roman"/>
        </w:rPr>
      </w:pPr>
      <w:r w:rsidRPr="00854A49">
        <w:rPr>
          <w:rFonts w:ascii="Times New Roman" w:hAnsi="Times New Roman" w:cs="Times New Roman"/>
        </w:rPr>
        <w:t>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</w:r>
    </w:p>
    <w:p w14:paraId="71CCE02F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4A49">
        <w:rPr>
          <w:rFonts w:ascii="Times New Roman" w:hAnsi="Times New Roman" w:cs="Times New Roman"/>
          <w:color w:val="000000"/>
          <w:sz w:val="24"/>
          <w:szCs w:val="24"/>
        </w:rPr>
        <w:t>Оценка результативности и эффективности осуществления муниципального жилищного контроля осуществляется на основании статьи 30 Федерального закона № 248-ФЗ.</w:t>
      </w:r>
    </w:p>
    <w:p w14:paraId="5BC16ECC" w14:textId="481E82E2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 Для муниципального жилищного контроля установлены следующие ключевые показатели вида контроля и их целевые значения:</w:t>
      </w:r>
    </w:p>
    <w:p w14:paraId="26C46E8A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>1) Доля устраненных нарушений из числа выявленных нарушений обязательных требований - 70%.</w:t>
      </w:r>
    </w:p>
    <w:p w14:paraId="58D16339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>2) Доля обоснованных жалоб на действия (бездействие) администрации и (или) его должностного лица при проведении контрольных мероприятий - 0%.</w:t>
      </w:r>
    </w:p>
    <w:p w14:paraId="73D8594C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>3) Доля отмененных результатов контрольных мероприятий - 0%.</w:t>
      </w:r>
    </w:p>
    <w:p w14:paraId="4DE69F69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>4) Доля контрольных мероприятий, по результатам которых были выявлены нарушения, но не приняты соответствующие меры административного воздействия - 5%.</w:t>
      </w:r>
    </w:p>
    <w:p w14:paraId="237E6114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>5) Доля вынесенных судебных решений о назначении административного наказания по материалам администрации - 95%.</w:t>
      </w:r>
    </w:p>
    <w:p w14:paraId="425EFF40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>6) 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постановлений, вынесенных администрацией,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517322ED" w14:textId="0D2AA8C5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A49">
        <w:rPr>
          <w:rFonts w:ascii="Times New Roman" w:hAnsi="Times New Roman" w:cs="Times New Roman"/>
          <w:sz w:val="24"/>
          <w:szCs w:val="24"/>
        </w:rPr>
        <w:t>Для муниципального жилищного контроля установлены следующие индикативные показатели:</w:t>
      </w:r>
    </w:p>
    <w:p w14:paraId="490FAE6C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внеплановых контрольных мероприятий, проведенных за отчетный период; </w:t>
      </w:r>
    </w:p>
    <w:p w14:paraId="79A33448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14:paraId="0519A033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общее количество контрольных мероприятий с взаимодействием, проведенных за отчетный период; </w:t>
      </w:r>
    </w:p>
    <w:p w14:paraId="432389B0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контрольных мероприятий с взаимодействием по каждому виду контрольных мероприятий, проведенных за отчетный период; </w:t>
      </w:r>
    </w:p>
    <w:p w14:paraId="4565F184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контрольных мероприятий, проведенных с использованием средств дистанционного взаимодействия, за отчетный период; </w:t>
      </w:r>
    </w:p>
    <w:p w14:paraId="72EF20DA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>количество обязательных профилактических визитов, проведенных за отчетный период;</w:t>
      </w:r>
    </w:p>
    <w:p w14:paraId="5ACC4B79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предостережений о недопустимости нарушения обязательных требований, объявленных за отчетный период; </w:t>
      </w:r>
    </w:p>
    <w:p w14:paraId="6A783998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контрольных мероприятий, по результатам которых выявлены нарушения обязательных требований, за отчетный период; </w:t>
      </w:r>
    </w:p>
    <w:p w14:paraId="214677DA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контрольных мероприятий, по итогам которых возбуждены дела об административных правонарушениях, за отчетный период; </w:t>
      </w:r>
    </w:p>
    <w:p w14:paraId="2770B4CC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сумма административных штрафов, наложенных по результатам контрольных мероприятий, за отчетный период; </w:t>
      </w:r>
    </w:p>
    <w:p w14:paraId="29D4BE58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направленных в органы прокуратуры заявлений о согласовании проведения контрольных мероприятий, за отчетный период; </w:t>
      </w:r>
    </w:p>
    <w:p w14:paraId="6196ED57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 </w:t>
      </w:r>
    </w:p>
    <w:p w14:paraId="761C055C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общее количество учтенных объектов контроля на конец отчетного периода; </w:t>
      </w:r>
    </w:p>
    <w:p w14:paraId="2C0683B3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>количество учтенных объектов контроля, отнесенных к категориям риска, по каждой из категорий риска, на конец отчетного периода;</w:t>
      </w:r>
    </w:p>
    <w:p w14:paraId="10F72573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учтенных контролируемых лиц на конец отчетного периода; </w:t>
      </w:r>
    </w:p>
    <w:p w14:paraId="746461D3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учтенных контролируемых лиц, в отношении которых проведены контрольные мероприятия, за отчетный период; </w:t>
      </w:r>
    </w:p>
    <w:p w14:paraId="4A09CC92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исковых заявлений об оспаривании решений, действий (бездействий) должностных лиц администрации, направленных контролируемыми лицами в судебном порядке, за отчетный период; </w:t>
      </w:r>
    </w:p>
    <w:p w14:paraId="74F9CCAF" w14:textId="77777777" w:rsidR="00854A49" w:rsidRPr="00854A49" w:rsidRDefault="00854A49" w:rsidP="00854A49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A49">
        <w:rPr>
          <w:rFonts w:ascii="Times New Roman" w:hAnsi="Times New Roman" w:cs="Times New Roman"/>
          <w:sz w:val="24"/>
          <w:szCs w:val="24"/>
        </w:rPr>
        <w:t xml:space="preserve">количество исковых заявлений об оспаривании решений, действий (бездействий) должностных лиц администрации,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</w:p>
    <w:p w14:paraId="2B81357B" w14:textId="2E2E5900" w:rsidR="00854A49" w:rsidRPr="00854A49" w:rsidRDefault="00854A49" w:rsidP="00854A49">
      <w:pPr>
        <w:jc w:val="both"/>
        <w:rPr>
          <w:rFonts w:ascii="Times New Roman" w:hAnsi="Times New Roman" w:cs="Times New Roman"/>
          <w:sz w:val="22"/>
          <w:szCs w:val="22"/>
        </w:rPr>
      </w:pPr>
      <w:r w:rsidRPr="00854A49">
        <w:rPr>
          <w:rFonts w:ascii="Times New Roman" w:hAnsi="Times New Roman" w:cs="Times New Roman"/>
        </w:rPr>
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14:paraId="30857994" w14:textId="77777777" w:rsidR="00854A49" w:rsidRPr="00854A49" w:rsidRDefault="00854A49" w:rsidP="00854A49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5C2355A" w14:textId="77777777" w:rsidR="00A95A41" w:rsidRPr="00854A49" w:rsidRDefault="00A95A41">
      <w:pPr>
        <w:rPr>
          <w:sz w:val="22"/>
          <w:szCs w:val="22"/>
        </w:rPr>
      </w:pPr>
    </w:p>
    <w:sectPr w:rsidR="00A95A41" w:rsidRPr="0085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A41"/>
    <w:rsid w:val="001B38FA"/>
    <w:rsid w:val="00854A49"/>
    <w:rsid w:val="00A95A41"/>
    <w:rsid w:val="00EB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6228"/>
  <w15:chartTrackingRefBased/>
  <w15:docId w15:val="{D638881A-FBE3-43F0-B8A5-836823B0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5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5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A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5A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5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5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5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A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5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5A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5A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5A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5A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5A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5A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5A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5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5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5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5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5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5A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5A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5A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5A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5A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5A41"/>
    <w:rPr>
      <w:b/>
      <w:bCs/>
      <w:smallCaps/>
      <w:color w:val="2F5496" w:themeColor="accent1" w:themeShade="BF"/>
      <w:spacing w:val="5"/>
    </w:rPr>
  </w:style>
  <w:style w:type="paragraph" w:customStyle="1" w:styleId="11">
    <w:name w:val="Без интервала1"/>
    <w:rsid w:val="00854A49"/>
    <w:pPr>
      <w:suppressAutoHyphens/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9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2</cp:revision>
  <dcterms:created xsi:type="dcterms:W3CDTF">2026-03-23T03:41:00Z</dcterms:created>
  <dcterms:modified xsi:type="dcterms:W3CDTF">2026-03-23T03:41:00Z</dcterms:modified>
</cp:coreProperties>
</file>